
<file path=[Content_Types].xml><?xml version="1.0" encoding="utf-8"?>
<Types xmlns="http://schemas.openxmlformats.org/package/2006/content-types">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5D9C" w:rsidRPr="00370421" w:rsidRDefault="00BA45AE" w:rsidP="00D95D9C">
      <w:pPr>
        <w:spacing w:line="288" w:lineRule="auto"/>
        <w:rPr>
          <w:rFonts w:ascii="Helvetica" w:hAnsi="Helvetica"/>
          <w:b/>
          <w:color w:val="808080" w:themeColor="background1" w:themeShade="80"/>
          <w:sz w:val="20"/>
        </w:rPr>
      </w:pPr>
      <w:r w:rsidRPr="00370421">
        <w:rPr>
          <w:rFonts w:ascii="Helvetica" w:hAnsi="Helvetica"/>
          <w:b/>
          <w:color w:val="808080" w:themeColor="background1" w:themeShade="80"/>
          <w:sz w:val="20"/>
        </w:rPr>
        <w:t>Medienmitteilung</w:t>
      </w:r>
    </w:p>
    <w:p w:rsidR="00D95D9C" w:rsidRPr="00370421" w:rsidRDefault="008B6D4B" w:rsidP="00D95D9C">
      <w:pPr>
        <w:spacing w:line="288" w:lineRule="auto"/>
        <w:ind w:right="-992"/>
        <w:rPr>
          <w:rFonts w:ascii="Helvetica" w:hAnsi="Helvetica"/>
          <w:sz w:val="20"/>
        </w:rPr>
      </w:pPr>
      <w:r>
        <w:rPr>
          <w:rFonts w:ascii="Helvetica" w:hAnsi="Helvetica"/>
          <w:sz w:val="20"/>
        </w:rPr>
        <w:t>Rotkreuz, 1. März 2017</w:t>
      </w:r>
    </w:p>
    <w:p w:rsidR="00D95D9C" w:rsidRPr="00370421" w:rsidRDefault="00224D64" w:rsidP="00D95D9C">
      <w:pPr>
        <w:spacing w:line="288" w:lineRule="auto"/>
        <w:ind w:right="-992"/>
        <w:rPr>
          <w:rFonts w:ascii="Helvetica" w:hAnsi="Helvetica" w:cs="Helvetica"/>
          <w:b/>
          <w:bCs/>
        </w:rPr>
      </w:pPr>
    </w:p>
    <w:p w:rsidR="00D95D9C" w:rsidRPr="00370421" w:rsidRDefault="00BA45AE" w:rsidP="00D95D9C">
      <w:pPr>
        <w:spacing w:line="288" w:lineRule="auto"/>
        <w:ind w:right="-1702"/>
        <w:rPr>
          <w:rFonts w:ascii="Helvetica" w:hAnsi="Helvetica" w:cs="Helvetica"/>
          <w:b/>
          <w:bCs/>
        </w:rPr>
      </w:pPr>
      <w:r>
        <w:rPr>
          <w:rFonts w:ascii="Helvetica" w:hAnsi="Helvetica" w:cs="Helvetica"/>
          <w:b/>
          <w:bCs/>
        </w:rPr>
        <w:t>Baar vereinfacht Administration und Verwaltung bei der Kinderbetreuung</w:t>
      </w:r>
    </w:p>
    <w:p w:rsidR="00DF329C" w:rsidRDefault="00BA45AE" w:rsidP="00DF329C">
      <w:pPr>
        <w:spacing w:line="288" w:lineRule="auto"/>
        <w:ind w:right="-284"/>
        <w:rPr>
          <w:rFonts w:ascii="Helvetica" w:hAnsi="Helvetica"/>
          <w:sz w:val="20"/>
        </w:rPr>
      </w:pPr>
      <w:r>
        <w:rPr>
          <w:rFonts w:ascii="Helvetica" w:hAnsi="Helvetica"/>
          <w:sz w:val="20"/>
        </w:rPr>
        <w:t>Modul Betreuungsgutscheine von Axians IT&amp;T erleichtert Betriebsabläufe</w:t>
      </w:r>
    </w:p>
    <w:p w:rsidR="00DF329C" w:rsidRDefault="00224D64" w:rsidP="00DF329C">
      <w:pPr>
        <w:spacing w:line="288" w:lineRule="auto"/>
        <w:ind w:right="-284"/>
        <w:rPr>
          <w:rFonts w:ascii="Helvetica" w:hAnsi="Helvetica"/>
          <w:sz w:val="20"/>
        </w:rPr>
      </w:pPr>
    </w:p>
    <w:p w:rsidR="00DF329C" w:rsidRPr="00A20C93" w:rsidRDefault="00BA45AE" w:rsidP="00DF329C">
      <w:pPr>
        <w:spacing w:line="288" w:lineRule="auto"/>
        <w:ind w:right="-284"/>
        <w:rPr>
          <w:rFonts w:ascii="Helvetica" w:hAnsi="Helvetica"/>
          <w:b/>
          <w:sz w:val="20"/>
        </w:rPr>
      </w:pPr>
      <w:r>
        <w:rPr>
          <w:rFonts w:ascii="Helvetica" w:hAnsi="Helvetica"/>
          <w:b/>
          <w:sz w:val="20"/>
        </w:rPr>
        <w:t>Cham und Baar haben als erste Zuger Gemeinden bei der Kinderbetreuung von der Objekt- zur Subjektfinanzierung gewechselt. Um die Gelder der öffentlichen Hand nicht mehr an Betreuungsorganisationen wie Kindertagesstätten, sondern direkt an die Erziehungsberechtigten auszuzahlen, vertrauen die Gemeindeverwaltungen auf das Modul Betreuungsgutscheine von newsystem, der Gemeinde-Software des Zuger Herstellers Axians IT&amp;T. Die</w:t>
      </w:r>
      <w:r w:rsidRPr="00B34ABC">
        <w:rPr>
          <w:rFonts w:ascii="Helvetica" w:hAnsi="Helvetica"/>
          <w:b/>
          <w:sz w:val="20"/>
        </w:rPr>
        <w:t xml:space="preserve"> Methode </w:t>
      </w:r>
      <w:r>
        <w:rPr>
          <w:rFonts w:ascii="Helvetica" w:hAnsi="Helvetica"/>
          <w:b/>
          <w:sz w:val="20"/>
        </w:rPr>
        <w:t>wirkt sich</w:t>
      </w:r>
      <w:r w:rsidRPr="00B34ABC">
        <w:rPr>
          <w:rFonts w:ascii="Helvetica" w:hAnsi="Helvetica"/>
          <w:b/>
          <w:sz w:val="20"/>
        </w:rPr>
        <w:t xml:space="preserve"> vor allem positiv auf die tägliche Arbeit der Verwaltung aus. Dies bestätigt Clemens Eisenhut, Leiter der Abteilung Soziales und Familie d</w:t>
      </w:r>
      <w:r>
        <w:rPr>
          <w:rFonts w:ascii="Helvetica" w:hAnsi="Helvetica"/>
          <w:b/>
          <w:sz w:val="20"/>
        </w:rPr>
        <w:t xml:space="preserve">er Gemeinde Baar: </w:t>
      </w:r>
      <w:r w:rsidRPr="00B34ABC">
        <w:rPr>
          <w:rFonts w:ascii="Helvetica" w:hAnsi="Helvetica"/>
          <w:b/>
          <w:sz w:val="20"/>
        </w:rPr>
        <w:t>„Das neue System macht uns die Abrechnung bedeutend einfacher. Wir können jetzt mit wenigen Klicks die Daten monatlich automatisiert aufbereiten und zur Auszahlung an die Finanzverwaltung geben.“</w:t>
      </w:r>
    </w:p>
    <w:p w:rsidR="00DF329C" w:rsidRPr="00A20C93" w:rsidRDefault="00224D64" w:rsidP="00DF329C">
      <w:pPr>
        <w:spacing w:line="288" w:lineRule="auto"/>
        <w:ind w:right="-284"/>
        <w:rPr>
          <w:rFonts w:ascii="Helvetica" w:hAnsi="Helvetica"/>
          <w:b/>
          <w:sz w:val="20"/>
        </w:rPr>
      </w:pPr>
    </w:p>
    <w:p w:rsidR="00A20C93" w:rsidRPr="00A20C93" w:rsidRDefault="00BA45AE" w:rsidP="00A20C93">
      <w:pPr>
        <w:pStyle w:val="EinfAbs"/>
        <w:tabs>
          <w:tab w:val="right" w:pos="3340"/>
        </w:tabs>
        <w:rPr>
          <w:rFonts w:ascii="Helvetica" w:eastAsia="Times" w:hAnsi="Helvetica" w:cs="Times New Roman"/>
          <w:b/>
          <w:color w:val="auto"/>
          <w:sz w:val="20"/>
          <w:lang w:val="de-DE" w:eastAsia="de-DE"/>
        </w:rPr>
      </w:pPr>
      <w:r w:rsidRPr="00A20C93">
        <w:rPr>
          <w:rFonts w:ascii="Helvetica" w:eastAsia="Times" w:hAnsi="Helvetica" w:cs="Times New Roman"/>
          <w:b/>
          <w:color w:val="auto"/>
          <w:sz w:val="20"/>
          <w:lang w:val="de-DE" w:eastAsia="de-DE"/>
        </w:rPr>
        <w:t xml:space="preserve">Schluss mit Excel und Co. </w:t>
      </w:r>
    </w:p>
    <w:p w:rsidR="00A20C93" w:rsidRPr="00A20C93" w:rsidRDefault="00BA45AE" w:rsidP="00A20C93">
      <w:pPr>
        <w:pStyle w:val="EinfAbs"/>
        <w:tabs>
          <w:tab w:val="right" w:pos="3340"/>
        </w:tabs>
        <w:rPr>
          <w:rFonts w:ascii="Helvetica" w:eastAsia="Times" w:hAnsi="Helvetica" w:cs="Times New Roman"/>
          <w:color w:val="auto"/>
          <w:sz w:val="20"/>
          <w:lang w:val="de-DE" w:eastAsia="de-DE"/>
        </w:rPr>
      </w:pPr>
      <w:r w:rsidRPr="00A20C93">
        <w:rPr>
          <w:rFonts w:ascii="Helvetica" w:eastAsia="Times" w:hAnsi="Helvetica" w:cs="Times New Roman"/>
          <w:color w:val="auto"/>
          <w:sz w:val="20"/>
          <w:lang w:val="de-DE" w:eastAsia="de-DE"/>
        </w:rPr>
        <w:t>Die einfache Verwaltung und Administration für die familienergänzende Kinderbetreuung erlaubt es, Erziehungsberechtigte, Kinder und Betreuungsorganisationen abzubilden und die für die Festlegung der Ansätze notwendigen Werte im System zu hinterlegen. Dies ermöglicht es Eisenhut, auf die früher eher b</w:t>
      </w:r>
      <w:r>
        <w:rPr>
          <w:rFonts w:ascii="Helvetica" w:eastAsia="Times" w:hAnsi="Helvetica" w:cs="Times New Roman"/>
          <w:color w:val="auto"/>
          <w:sz w:val="20"/>
          <w:lang w:val="de-DE" w:eastAsia="de-DE"/>
        </w:rPr>
        <w:t>ehelfsmässig eingesetzten Tools</w:t>
      </w:r>
      <w:r w:rsidRPr="00A20C93">
        <w:rPr>
          <w:rFonts w:ascii="Helvetica" w:eastAsia="Times" w:hAnsi="Helvetica" w:cs="Times New Roman"/>
          <w:color w:val="auto"/>
          <w:sz w:val="20"/>
          <w:lang w:val="de-DE" w:eastAsia="de-DE"/>
        </w:rPr>
        <w:t xml:space="preserve"> </w:t>
      </w:r>
      <w:r>
        <w:rPr>
          <w:rFonts w:ascii="Helvetica" w:eastAsia="Times" w:hAnsi="Helvetica" w:cs="Times New Roman"/>
          <w:color w:val="auto"/>
          <w:sz w:val="20"/>
          <w:lang w:val="de-DE" w:eastAsia="de-DE"/>
        </w:rPr>
        <w:t>wie beispielsweise Excel-Listen</w:t>
      </w:r>
      <w:r w:rsidRPr="00A20C93">
        <w:rPr>
          <w:rFonts w:ascii="Helvetica" w:eastAsia="Times" w:hAnsi="Helvetica" w:cs="Times New Roman"/>
          <w:color w:val="auto"/>
          <w:sz w:val="20"/>
          <w:lang w:val="de-DE" w:eastAsia="de-DE"/>
        </w:rPr>
        <w:t xml:space="preserve"> zu verzichten und Medienbrüche zu vermeiden. Nach erfolgter Kontrolle und Freigabe werden schliesslich die für die Auszahlung der Guthaben notwendigen Finanzabläufe automatisch erstellt und gemäss den im System hinterlegten Informationen elektronisch ausbezahlt. Gleichzeitig meldet die Anwendung ohne weiteres Zutun d</w:t>
      </w:r>
      <w:r>
        <w:rPr>
          <w:rFonts w:ascii="Helvetica" w:eastAsia="Times" w:hAnsi="Helvetica" w:cs="Times New Roman"/>
          <w:color w:val="auto"/>
          <w:sz w:val="20"/>
          <w:lang w:val="de-DE" w:eastAsia="de-DE"/>
        </w:rPr>
        <w:t xml:space="preserve">ie Informationen an den Kanton. </w:t>
      </w:r>
      <w:r w:rsidRPr="00A20C93">
        <w:rPr>
          <w:rFonts w:ascii="Helvetica" w:eastAsia="Times" w:hAnsi="Helvetica" w:cs="Times New Roman"/>
          <w:color w:val="auto"/>
          <w:sz w:val="20"/>
          <w:lang w:val="de-DE" w:eastAsia="de-DE"/>
        </w:rPr>
        <w:t xml:space="preserve">In Baar arbeiten neben Eisenhut noch zwei weitere Mitarbeitende mit dem Modul Betreuungsgutscheine. </w:t>
      </w:r>
    </w:p>
    <w:p w:rsidR="00A20C93" w:rsidRPr="00A20C93" w:rsidRDefault="00224D64" w:rsidP="00A20C93">
      <w:pPr>
        <w:pStyle w:val="EinfAbs"/>
        <w:tabs>
          <w:tab w:val="right" w:pos="3340"/>
        </w:tabs>
        <w:rPr>
          <w:rFonts w:ascii="Helvetica" w:eastAsia="Times" w:hAnsi="Helvetica" w:cs="Times New Roman"/>
          <w:color w:val="auto"/>
          <w:sz w:val="20"/>
          <w:lang w:val="de-DE" w:eastAsia="de-DE"/>
        </w:rPr>
      </w:pPr>
    </w:p>
    <w:p w:rsidR="00A20C93" w:rsidRPr="00A20C93" w:rsidRDefault="00BA45AE" w:rsidP="00A20C93">
      <w:pPr>
        <w:pStyle w:val="EinfAbs"/>
        <w:tabs>
          <w:tab w:val="right" w:pos="3340"/>
        </w:tabs>
        <w:rPr>
          <w:rFonts w:ascii="Helvetica" w:eastAsia="Times" w:hAnsi="Helvetica" w:cs="Times New Roman"/>
          <w:b/>
          <w:color w:val="auto"/>
          <w:sz w:val="20"/>
          <w:lang w:val="de-DE" w:eastAsia="de-DE"/>
        </w:rPr>
      </w:pPr>
      <w:r w:rsidRPr="00A20C93">
        <w:rPr>
          <w:rFonts w:ascii="Helvetica" w:eastAsia="Times" w:hAnsi="Helvetica" w:cs="Times New Roman"/>
          <w:b/>
          <w:color w:val="auto"/>
          <w:sz w:val="20"/>
          <w:lang w:val="de-DE" w:eastAsia="de-DE"/>
        </w:rPr>
        <w:t xml:space="preserve">Kurzbeschreibung </w:t>
      </w:r>
    </w:p>
    <w:p w:rsidR="00A20C93" w:rsidRDefault="00BA45AE" w:rsidP="00A20C93">
      <w:pPr>
        <w:pStyle w:val="KeinAbsatzformat"/>
        <w:spacing w:before="2" w:after="2"/>
        <w:rPr>
          <w:rFonts w:ascii="Helvetica" w:eastAsia="Times" w:hAnsi="Helvetica" w:cs="Times New Roman"/>
          <w:color w:val="auto"/>
          <w:sz w:val="20"/>
          <w:lang w:val="de-DE" w:eastAsia="de-DE"/>
        </w:rPr>
      </w:pPr>
      <w:r w:rsidRPr="00A20C93">
        <w:rPr>
          <w:rFonts w:ascii="Helvetica" w:eastAsia="Times" w:hAnsi="Helvetica" w:cs="Times New Roman"/>
          <w:color w:val="auto"/>
          <w:sz w:val="20"/>
          <w:lang w:val="de-DE" w:eastAsia="de-DE"/>
        </w:rPr>
        <w:t>Mit dem Modul Betreuungsgutscheine der Gemeinde-Software newsystem werden die Daten aller Beteiligten in Falldossiers geführt. Damit ist jederzeit ein umfassender Überblick gewährleistet und Änderungen werden laufend archiviert. Zusatzzahlungen wie Geschwisterboni oder Härtefälle werden direkt erfasst und mitberechnet. Pro Falldossier kann definiert werden, ob die Beiträge unmittelbar an den Antragssteller oder an eine Betreuungsorganisation ausbezahlt werden.Änderungen an den Dokumenten, wie Ablehnung oder Akzeptanz eines Gesuches sowie Informationen über bewilligte Betreuungsgutscheine, können direkt in den frei gestaltbaren Word-Vorlagen vorgenommen werden. Wird versehentlich ein falscher Betrag ausbezahlt, kann die Differenz mit wenigen Klicks mittels Debitorenrechnung wieder eingefordert werden. Mit zahlreichen Auswertungen, wie beispielsweise einer detaillierten Liste über die monatlichen Auszahlungsbeträge pro Kind, unterstützt die Lösung ausserdem das Controlling. Bei Bedarf kann das Modul Betreuungsgutscheine auch standalone, also unabhängig von der eingesetzten Finanzlösung, betrieben und lediglich die Transaktionsdaten synchronisiert werden.</w:t>
      </w:r>
    </w:p>
    <w:p w:rsidR="00A20C93" w:rsidRDefault="00224D64" w:rsidP="00A20C93">
      <w:pPr>
        <w:pStyle w:val="KeinAbsatzformat"/>
        <w:spacing w:before="2" w:after="2"/>
        <w:rPr>
          <w:rFonts w:ascii="Helvetica" w:eastAsia="Times" w:hAnsi="Helvetica" w:cs="Times New Roman"/>
          <w:color w:val="auto"/>
          <w:sz w:val="20"/>
          <w:lang w:val="de-DE" w:eastAsia="de-DE"/>
        </w:rPr>
      </w:pPr>
    </w:p>
    <w:p w:rsidR="00DF329C" w:rsidRPr="00A20C93" w:rsidRDefault="00BA45AE" w:rsidP="00A20C93">
      <w:pPr>
        <w:pStyle w:val="KeinAbsatzformat"/>
        <w:spacing w:before="2" w:after="2"/>
        <w:rPr>
          <w:rFonts w:ascii="Helvetica" w:eastAsia="Times" w:hAnsi="Helvetica" w:cs="Times New Roman"/>
          <w:color w:val="auto"/>
          <w:sz w:val="20"/>
          <w:lang w:val="de-DE" w:eastAsia="de-DE"/>
        </w:rPr>
      </w:pPr>
      <w:r w:rsidRPr="00C63442">
        <w:rPr>
          <w:rFonts w:ascii="Helvetica" w:hAnsi="Helvetica"/>
          <w:b/>
          <w:sz w:val="20"/>
        </w:rPr>
        <w:t xml:space="preserve">Über die Gemeinde-Software newsystem </w:t>
      </w:r>
    </w:p>
    <w:p w:rsidR="009C568D" w:rsidRDefault="00BA45AE" w:rsidP="00DF329C">
      <w:pPr>
        <w:spacing w:line="288" w:lineRule="auto"/>
        <w:ind w:right="-284"/>
        <w:rPr>
          <w:rFonts w:ascii="Helvetica" w:hAnsi="Helvetica"/>
          <w:sz w:val="20"/>
        </w:rPr>
      </w:pPr>
      <w:r w:rsidRPr="00C63442">
        <w:rPr>
          <w:rFonts w:ascii="Helvetica" w:hAnsi="Helvetica"/>
          <w:sz w:val="20"/>
        </w:rPr>
        <w:t>Die Gesamtlösung newsystem für öffentliche Verwaltungen basiert auf der Technologie von Microsofts ERP-Lösung Dynamics NAV. Von der Einwohnerkontrolle über die Gebührenfakturierung bis zu einem funktional umfassenden Finanz- und Rechnungswesen inklusive Lohn- und Personaladministration erfüllt das System die Anforderungen an eine vollintegrierte und moderne Gesamtanwendung für kleinere, mittlere und grosse Stä</w:t>
      </w:r>
      <w:r>
        <w:rPr>
          <w:rFonts w:ascii="Helvetica" w:hAnsi="Helvetica"/>
          <w:sz w:val="20"/>
        </w:rPr>
        <w:t>dte- und Gemein</w:t>
      </w:r>
      <w:r w:rsidRPr="00C63442">
        <w:rPr>
          <w:rFonts w:ascii="Helvetica" w:hAnsi="Helvetica"/>
          <w:sz w:val="20"/>
        </w:rPr>
        <w:t>deverwaltungen sowie kantonale Finanzverwaltungen. Die Anforderungen an die Transparenz werden mit zahlreichen Reporting-, Analyse- und Berichtsmöglichkeiten erfüllt. Ergänzt wird die Lösung mit integrierten Anwendungen für E-Government, Kreditoren-Workflow oder Gemeinde-Cockpits u.v.m.</w:t>
      </w:r>
    </w:p>
    <w:p w:rsidR="00D95D9C" w:rsidRPr="003715BD" w:rsidRDefault="00224D64" w:rsidP="00DF329C">
      <w:pPr>
        <w:spacing w:line="288" w:lineRule="auto"/>
        <w:ind w:right="-284"/>
        <w:rPr>
          <w:rFonts w:ascii="Helvetica" w:hAnsi="Helvetica"/>
          <w:sz w:val="20"/>
        </w:rPr>
      </w:pPr>
    </w:p>
    <w:tbl>
      <w:tblPr>
        <w:tblW w:w="8755" w:type="dxa"/>
        <w:tblLayout w:type="fixed"/>
        <w:tblLook w:val="04A0"/>
      </w:tblPr>
      <w:tblGrid>
        <w:gridCol w:w="3510"/>
        <w:gridCol w:w="5245"/>
      </w:tblGrid>
      <w:tr w:rsidR="00D95D9C" w:rsidRPr="00370421">
        <w:trPr>
          <w:trHeight w:val="1875"/>
        </w:trPr>
        <w:tc>
          <w:tcPr>
            <w:tcW w:w="3510" w:type="dxa"/>
            <w:shd w:val="clear" w:color="auto" w:fill="auto"/>
          </w:tcPr>
          <w:p w:rsidR="00D95D9C" w:rsidRPr="003B2B60" w:rsidRDefault="00BA45AE" w:rsidP="004419A1">
            <w:pPr>
              <w:widowControl w:val="0"/>
              <w:tabs>
                <w:tab w:val="left" w:pos="2977"/>
                <w:tab w:val="left" w:pos="4111"/>
              </w:tabs>
              <w:autoSpaceDE w:val="0"/>
              <w:autoSpaceDN w:val="0"/>
              <w:adjustRightInd w:val="0"/>
              <w:spacing w:line="220" w:lineRule="atLeast"/>
              <w:ind w:right="176"/>
              <w:rPr>
                <w:rFonts w:ascii="Arial" w:hAnsi="Arial" w:cs="Calibri"/>
                <w:sz w:val="16"/>
                <w:highlight w:val="yellow"/>
                <w:lang w:val="de-CH"/>
              </w:rPr>
            </w:pPr>
            <w:r w:rsidRPr="003B2B60">
              <w:rPr>
                <w:rFonts w:ascii="Arial" w:hAnsi="Arial" w:cs="Calibri"/>
                <w:noProof/>
                <w:sz w:val="16"/>
              </w:rPr>
              <w:drawing>
                <wp:inline distT="0" distB="0" distL="0" distR="0">
                  <wp:extent cx="2057400" cy="1357550"/>
                  <wp:effectExtent l="25400" t="0" r="0" b="0"/>
                  <wp:docPr id="2" name="Bild 1" descr="::::::::Desktop:Bildschirmfoto 2017-02-21 um 09.30.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Bildschirmfoto 2017-02-21 um 09.30.40.png"/>
                          <pic:cNvPicPr>
                            <a:picLocks noChangeAspect="1" noChangeArrowheads="1"/>
                          </pic:cNvPicPr>
                        </pic:nvPicPr>
                        <pic:blipFill>
                          <a:blip r:embed="rId6"/>
                          <a:srcRect/>
                          <a:stretch>
                            <a:fillRect/>
                          </a:stretch>
                        </pic:blipFill>
                        <pic:spPr bwMode="auto">
                          <a:xfrm>
                            <a:off x="0" y="0"/>
                            <a:ext cx="2057802" cy="1357816"/>
                          </a:xfrm>
                          <a:prstGeom prst="rect">
                            <a:avLst/>
                          </a:prstGeom>
                          <a:noFill/>
                          <a:ln w="9525">
                            <a:noFill/>
                            <a:miter lim="800000"/>
                            <a:headEnd/>
                            <a:tailEnd/>
                          </a:ln>
                        </pic:spPr>
                      </pic:pic>
                    </a:graphicData>
                  </a:graphic>
                </wp:inline>
              </w:drawing>
            </w:r>
          </w:p>
        </w:tc>
        <w:tc>
          <w:tcPr>
            <w:tcW w:w="5245" w:type="dxa"/>
            <w:shd w:val="clear" w:color="auto" w:fill="auto"/>
          </w:tcPr>
          <w:p w:rsidR="00D95D9C" w:rsidRPr="0038684A" w:rsidRDefault="00224D64" w:rsidP="004419A1">
            <w:pPr>
              <w:widowControl w:val="0"/>
              <w:autoSpaceDE w:val="0"/>
              <w:autoSpaceDN w:val="0"/>
              <w:adjustRightInd w:val="0"/>
              <w:rPr>
                <w:rFonts w:ascii="Helvetica" w:hAnsi="Helvetica"/>
                <w:b/>
                <w:sz w:val="20"/>
                <w:highlight w:val="yellow"/>
              </w:rPr>
            </w:pPr>
          </w:p>
          <w:p w:rsidR="00D95D9C" w:rsidRPr="0038684A" w:rsidRDefault="00224D64" w:rsidP="004419A1">
            <w:pPr>
              <w:widowControl w:val="0"/>
              <w:autoSpaceDE w:val="0"/>
              <w:autoSpaceDN w:val="0"/>
              <w:adjustRightInd w:val="0"/>
              <w:rPr>
                <w:rFonts w:ascii="Helvetica" w:hAnsi="Helvetica"/>
                <w:b/>
                <w:sz w:val="20"/>
                <w:highlight w:val="yellow"/>
              </w:rPr>
            </w:pPr>
          </w:p>
          <w:p w:rsidR="00D95D9C" w:rsidRPr="0038684A" w:rsidRDefault="00224D64" w:rsidP="004419A1">
            <w:pPr>
              <w:widowControl w:val="0"/>
              <w:autoSpaceDE w:val="0"/>
              <w:autoSpaceDN w:val="0"/>
              <w:adjustRightInd w:val="0"/>
              <w:rPr>
                <w:rFonts w:ascii="Helvetica" w:hAnsi="Helvetica"/>
                <w:b/>
                <w:sz w:val="20"/>
                <w:highlight w:val="yellow"/>
              </w:rPr>
            </w:pPr>
          </w:p>
          <w:p w:rsidR="00D95D9C" w:rsidRPr="0038684A" w:rsidRDefault="00224D64" w:rsidP="004419A1">
            <w:pPr>
              <w:widowControl w:val="0"/>
              <w:autoSpaceDE w:val="0"/>
              <w:autoSpaceDN w:val="0"/>
              <w:adjustRightInd w:val="0"/>
              <w:rPr>
                <w:rFonts w:ascii="Helvetica" w:hAnsi="Helvetica"/>
                <w:b/>
                <w:sz w:val="20"/>
                <w:highlight w:val="yellow"/>
              </w:rPr>
            </w:pPr>
          </w:p>
          <w:p w:rsidR="00D95D9C" w:rsidRPr="0038684A" w:rsidRDefault="00224D64" w:rsidP="004419A1">
            <w:pPr>
              <w:widowControl w:val="0"/>
              <w:autoSpaceDE w:val="0"/>
              <w:autoSpaceDN w:val="0"/>
              <w:adjustRightInd w:val="0"/>
              <w:rPr>
                <w:rFonts w:ascii="Helvetica" w:hAnsi="Helvetica"/>
                <w:b/>
                <w:sz w:val="20"/>
                <w:highlight w:val="yellow"/>
              </w:rPr>
            </w:pPr>
          </w:p>
          <w:p w:rsidR="00D95D9C" w:rsidRPr="0038684A" w:rsidRDefault="00224D64" w:rsidP="004419A1">
            <w:pPr>
              <w:widowControl w:val="0"/>
              <w:autoSpaceDE w:val="0"/>
              <w:autoSpaceDN w:val="0"/>
              <w:adjustRightInd w:val="0"/>
              <w:rPr>
                <w:rFonts w:ascii="Helvetica" w:hAnsi="Helvetica"/>
                <w:b/>
                <w:sz w:val="20"/>
                <w:highlight w:val="yellow"/>
              </w:rPr>
            </w:pPr>
          </w:p>
          <w:p w:rsidR="00D95D9C" w:rsidRPr="0038684A" w:rsidRDefault="00224D64" w:rsidP="004419A1">
            <w:pPr>
              <w:widowControl w:val="0"/>
              <w:autoSpaceDE w:val="0"/>
              <w:autoSpaceDN w:val="0"/>
              <w:adjustRightInd w:val="0"/>
              <w:rPr>
                <w:rFonts w:ascii="Helvetica" w:hAnsi="Helvetica"/>
                <w:b/>
                <w:sz w:val="20"/>
                <w:highlight w:val="yellow"/>
              </w:rPr>
            </w:pPr>
          </w:p>
          <w:p w:rsidR="00D95D9C" w:rsidRPr="0038684A" w:rsidRDefault="00BA45AE" w:rsidP="00346E2B">
            <w:pPr>
              <w:widowControl w:val="0"/>
              <w:autoSpaceDE w:val="0"/>
              <w:autoSpaceDN w:val="0"/>
              <w:adjustRightInd w:val="0"/>
              <w:rPr>
                <w:rFonts w:ascii="Helvetica" w:hAnsi="Helvetica"/>
                <w:b/>
                <w:sz w:val="16"/>
                <w:highlight w:val="yellow"/>
              </w:rPr>
            </w:pPr>
            <w:r w:rsidRPr="0038684A">
              <w:rPr>
                <w:rFonts w:ascii="Helvetica" w:hAnsi="Helvetica"/>
                <w:b/>
                <w:sz w:val="16"/>
              </w:rPr>
              <w:t xml:space="preserve">Die Gemeinde Baar, im </w:t>
            </w:r>
            <w:r w:rsidRPr="0038684A">
              <w:rPr>
                <w:rFonts w:ascii="Helvetica" w:eastAsia="Times New Roman" w:hAnsi="Helvetica"/>
                <w:b/>
                <w:sz w:val="16"/>
              </w:rPr>
              <w:t>Hintergrund</w:t>
            </w:r>
            <w:r w:rsidRPr="0038684A">
              <w:rPr>
                <w:rFonts w:ascii="Helvetica" w:hAnsi="Helvetica"/>
                <w:b/>
                <w:sz w:val="16"/>
              </w:rPr>
              <w:t xml:space="preserve"> Zug und der Zugersee</w:t>
            </w:r>
            <w:r>
              <w:rPr>
                <w:rFonts w:ascii="Helvetica" w:hAnsi="Helvetica"/>
                <w:b/>
                <w:sz w:val="16"/>
              </w:rPr>
              <w:br/>
            </w:r>
            <w:r w:rsidRPr="0038684A">
              <w:rPr>
                <w:rFonts w:ascii="Helvetica" w:hAnsi="Helvetica"/>
                <w:b/>
                <w:sz w:val="16"/>
              </w:rPr>
              <w:t xml:space="preserve">(Bild: zVg) </w:t>
            </w:r>
          </w:p>
        </w:tc>
      </w:tr>
    </w:tbl>
    <w:p w:rsidR="00D95D9C" w:rsidRPr="00370421" w:rsidRDefault="00224D64" w:rsidP="00D95D9C">
      <w:pPr>
        <w:spacing w:line="288" w:lineRule="auto"/>
        <w:ind w:right="-142"/>
        <w:rPr>
          <w:rFonts w:ascii="Helvetica" w:hAnsi="Helvetica"/>
          <w:sz w:val="20"/>
        </w:rPr>
      </w:pPr>
    </w:p>
    <w:tbl>
      <w:tblPr>
        <w:tblW w:w="8717" w:type="dxa"/>
        <w:tblLayout w:type="fixed"/>
        <w:tblCellMar>
          <w:left w:w="70" w:type="dxa"/>
          <w:right w:w="70" w:type="dxa"/>
        </w:tblCellMar>
        <w:tblLook w:val="0000"/>
      </w:tblPr>
      <w:tblGrid>
        <w:gridCol w:w="4748"/>
        <w:gridCol w:w="3969"/>
      </w:tblGrid>
      <w:tr w:rsidR="00D95D9C" w:rsidRPr="00370421">
        <w:trPr>
          <w:trHeight w:val="73"/>
        </w:trPr>
        <w:tc>
          <w:tcPr>
            <w:tcW w:w="4748" w:type="dxa"/>
          </w:tcPr>
          <w:p w:rsidR="00D95D9C" w:rsidRPr="00370421" w:rsidRDefault="00BA45AE" w:rsidP="004419A1">
            <w:pPr>
              <w:widowControl w:val="0"/>
              <w:adjustRightInd w:val="0"/>
              <w:spacing w:line="288" w:lineRule="auto"/>
              <w:rPr>
                <w:rFonts w:ascii="Helvetica" w:eastAsia="Times New Roman" w:hAnsi="Helvetica"/>
                <w:b/>
                <w:sz w:val="16"/>
              </w:rPr>
            </w:pPr>
            <w:r w:rsidRPr="00370421">
              <w:rPr>
                <w:rFonts w:ascii="Helvetica" w:eastAsia="Times New Roman" w:hAnsi="Helvetica"/>
                <w:sz w:val="16"/>
              </w:rPr>
              <w:br w:type="page"/>
            </w:r>
            <w:r w:rsidRPr="00370421">
              <w:rPr>
                <w:rFonts w:ascii="Helvetica" w:eastAsia="Times New Roman" w:hAnsi="Helvetica"/>
                <w:b/>
                <w:sz w:val="16"/>
              </w:rPr>
              <w:t>Weitere Informationen:</w:t>
            </w:r>
          </w:p>
          <w:p w:rsidR="00D95D9C" w:rsidRPr="00370421" w:rsidRDefault="00BA45AE" w:rsidP="004419A1">
            <w:pPr>
              <w:widowControl w:val="0"/>
              <w:adjustRightInd w:val="0"/>
              <w:spacing w:line="288" w:lineRule="auto"/>
              <w:rPr>
                <w:rFonts w:ascii="Helvetica" w:eastAsia="Times New Roman" w:hAnsi="Helvetica"/>
                <w:sz w:val="16"/>
              </w:rPr>
            </w:pPr>
            <w:r w:rsidRPr="00370421">
              <w:rPr>
                <w:rFonts w:ascii="Helvetica" w:eastAsia="Times New Roman" w:hAnsi="Helvetica"/>
                <w:sz w:val="16"/>
              </w:rPr>
              <w:t>Axians IT&amp;T AG – Marc Eugster</w:t>
            </w:r>
          </w:p>
          <w:p w:rsidR="00D95D9C" w:rsidRPr="00370421" w:rsidRDefault="00BA45AE" w:rsidP="004419A1">
            <w:pPr>
              <w:widowControl w:val="0"/>
              <w:adjustRightInd w:val="0"/>
              <w:spacing w:line="288" w:lineRule="auto"/>
              <w:rPr>
                <w:rFonts w:ascii="Helvetica" w:eastAsia="Times New Roman" w:hAnsi="Helvetica"/>
                <w:sz w:val="16"/>
              </w:rPr>
            </w:pPr>
            <w:r w:rsidRPr="00370421">
              <w:rPr>
                <w:rFonts w:ascii="Helvetica" w:eastAsia="Times New Roman" w:hAnsi="Helvetica"/>
                <w:sz w:val="16"/>
              </w:rPr>
              <w:t>Riedstrasse 1 – 6343 Rotkreuz</w:t>
            </w:r>
          </w:p>
          <w:p w:rsidR="00D95D9C" w:rsidRPr="00370421" w:rsidRDefault="00BA45AE" w:rsidP="004419A1">
            <w:pPr>
              <w:widowControl w:val="0"/>
              <w:adjustRightInd w:val="0"/>
              <w:spacing w:line="288" w:lineRule="auto"/>
              <w:rPr>
                <w:rFonts w:ascii="Helvetica" w:eastAsia="Times New Roman" w:hAnsi="Helvetica"/>
                <w:sz w:val="16"/>
              </w:rPr>
            </w:pPr>
            <w:r w:rsidRPr="00370421">
              <w:rPr>
                <w:rFonts w:ascii="Helvetica" w:eastAsia="Times New Roman" w:hAnsi="Helvetica"/>
                <w:sz w:val="16"/>
              </w:rPr>
              <w:t>Tel.: +41 41 725 09 00</w:t>
            </w:r>
          </w:p>
          <w:p w:rsidR="00D95D9C" w:rsidRPr="00370421" w:rsidRDefault="00CF1D19" w:rsidP="004419A1">
            <w:pPr>
              <w:widowControl w:val="0"/>
              <w:adjustRightInd w:val="0"/>
              <w:spacing w:line="288" w:lineRule="auto"/>
              <w:rPr>
                <w:rFonts w:ascii="Helvetica" w:eastAsia="Times New Roman" w:hAnsi="Helvetica"/>
                <w:sz w:val="16"/>
              </w:rPr>
            </w:pPr>
            <w:hyperlink r:id="rId7" w:history="1">
              <w:r w:rsidR="00BA45AE" w:rsidRPr="00C46D35">
                <w:rPr>
                  <w:rFonts w:ascii="Helvetica" w:eastAsia="Times New Roman" w:hAnsi="Helvetica"/>
                  <w:sz w:val="16"/>
                </w:rPr>
                <w:t>marc.eugster@axians-itt.ch</w:t>
              </w:r>
            </w:hyperlink>
            <w:r w:rsidR="00BA45AE" w:rsidRPr="00C46D35">
              <w:rPr>
                <w:rFonts w:ascii="Helvetica" w:eastAsia="Times New Roman" w:hAnsi="Helvetica"/>
                <w:sz w:val="16"/>
              </w:rPr>
              <w:t xml:space="preserve"> </w:t>
            </w:r>
            <w:r w:rsidR="00BA45AE" w:rsidRPr="00370421">
              <w:rPr>
                <w:rFonts w:ascii="Helvetica" w:eastAsia="Times New Roman" w:hAnsi="Helvetica"/>
                <w:sz w:val="16"/>
              </w:rPr>
              <w:t>– </w:t>
            </w:r>
            <w:hyperlink r:id="rId8" w:history="1">
              <w:r w:rsidR="00BA45AE" w:rsidRPr="00370421">
                <w:rPr>
                  <w:rFonts w:ascii="Helvetica" w:eastAsia="Times New Roman" w:hAnsi="Helvetica"/>
                  <w:sz w:val="16"/>
                </w:rPr>
                <w:t>www.axians-itt.ch</w:t>
              </w:r>
            </w:hyperlink>
            <w:r w:rsidR="00BA45AE" w:rsidRPr="00370421">
              <w:rPr>
                <w:rFonts w:ascii="Helvetica" w:eastAsia="Times New Roman" w:hAnsi="Helvetica"/>
                <w:sz w:val="16"/>
              </w:rPr>
              <w:t xml:space="preserve"> </w:t>
            </w:r>
          </w:p>
        </w:tc>
        <w:tc>
          <w:tcPr>
            <w:tcW w:w="3969" w:type="dxa"/>
          </w:tcPr>
          <w:p w:rsidR="00D95D9C" w:rsidRPr="00370421" w:rsidRDefault="00BA45AE" w:rsidP="004419A1">
            <w:pPr>
              <w:widowControl w:val="0"/>
              <w:adjustRightInd w:val="0"/>
              <w:spacing w:line="288" w:lineRule="auto"/>
              <w:rPr>
                <w:rFonts w:ascii="Helvetica" w:eastAsia="Times New Roman" w:hAnsi="Helvetica"/>
                <w:b/>
                <w:sz w:val="16"/>
              </w:rPr>
            </w:pPr>
            <w:r w:rsidRPr="00370421">
              <w:rPr>
                <w:rFonts w:ascii="Helvetica" w:eastAsia="Times New Roman" w:hAnsi="Helvetica"/>
                <w:b/>
                <w:sz w:val="16"/>
              </w:rPr>
              <w:t>Presse- und Öffentlichkeitsarbeit:</w:t>
            </w:r>
          </w:p>
          <w:p w:rsidR="00D95D9C" w:rsidRPr="00370421" w:rsidRDefault="00BA45AE" w:rsidP="004419A1">
            <w:pPr>
              <w:widowControl w:val="0"/>
              <w:adjustRightInd w:val="0"/>
              <w:spacing w:line="288" w:lineRule="auto"/>
              <w:rPr>
                <w:rFonts w:ascii="Helvetica" w:eastAsia="Times New Roman" w:hAnsi="Helvetica"/>
                <w:sz w:val="16"/>
              </w:rPr>
            </w:pPr>
            <w:r w:rsidRPr="00370421">
              <w:rPr>
                <w:rFonts w:ascii="Helvetica" w:eastAsia="Times New Roman" w:hAnsi="Helvetica"/>
                <w:sz w:val="16"/>
              </w:rPr>
              <w:t>Press’n’Relations GmbH – Markus Häfliger</w:t>
            </w:r>
          </w:p>
          <w:p w:rsidR="00D95D9C" w:rsidRPr="00370421" w:rsidRDefault="00BA45AE" w:rsidP="004419A1">
            <w:pPr>
              <w:widowControl w:val="0"/>
              <w:adjustRightInd w:val="0"/>
              <w:spacing w:line="288" w:lineRule="auto"/>
              <w:rPr>
                <w:rFonts w:ascii="Helvetica" w:eastAsia="Times New Roman" w:hAnsi="Helvetica"/>
                <w:sz w:val="16"/>
              </w:rPr>
            </w:pPr>
            <w:r w:rsidRPr="00370421">
              <w:rPr>
                <w:rFonts w:ascii="Helvetica" w:eastAsia="Times New Roman" w:hAnsi="Helvetica"/>
                <w:sz w:val="16"/>
              </w:rPr>
              <w:t>Hirslanderstrasse 51 – 8032 Zürich</w:t>
            </w:r>
          </w:p>
          <w:p w:rsidR="00D95D9C" w:rsidRPr="00370421" w:rsidRDefault="00BA45AE" w:rsidP="004419A1">
            <w:pPr>
              <w:widowControl w:val="0"/>
              <w:adjustRightInd w:val="0"/>
              <w:spacing w:line="288" w:lineRule="auto"/>
              <w:rPr>
                <w:rFonts w:ascii="Helvetica" w:eastAsia="Times New Roman" w:hAnsi="Helvetica"/>
                <w:sz w:val="16"/>
              </w:rPr>
            </w:pPr>
            <w:r w:rsidRPr="00370421">
              <w:rPr>
                <w:rFonts w:ascii="Helvetica" w:eastAsia="Times New Roman" w:hAnsi="Helvetica"/>
                <w:sz w:val="16"/>
              </w:rPr>
              <w:t>Tel. : +41 43 344 58 65 – Mobil +41 78 660 66 57</w:t>
            </w:r>
          </w:p>
          <w:p w:rsidR="00D95D9C" w:rsidRPr="00370421" w:rsidRDefault="00CF1D19" w:rsidP="004419A1">
            <w:pPr>
              <w:widowControl w:val="0"/>
              <w:adjustRightInd w:val="0"/>
              <w:spacing w:line="288" w:lineRule="auto"/>
              <w:rPr>
                <w:rFonts w:ascii="Helvetica" w:eastAsia="Times New Roman" w:hAnsi="Helvetica"/>
                <w:sz w:val="16"/>
              </w:rPr>
            </w:pPr>
            <w:hyperlink r:id="rId9" w:history="1">
              <w:r w:rsidR="00BA45AE" w:rsidRPr="00370421">
                <w:rPr>
                  <w:rFonts w:ascii="Helvetica" w:eastAsia="Times New Roman" w:hAnsi="Helvetica"/>
                  <w:sz w:val="16"/>
                </w:rPr>
                <w:t>mh@press-n-relations.ch</w:t>
              </w:r>
            </w:hyperlink>
            <w:r w:rsidR="00BA45AE" w:rsidRPr="00370421">
              <w:rPr>
                <w:rFonts w:ascii="Helvetica" w:eastAsia="Times New Roman" w:hAnsi="Helvetica"/>
                <w:sz w:val="16"/>
              </w:rPr>
              <w:t xml:space="preserve"> – </w:t>
            </w:r>
            <w:hyperlink r:id="rId10" w:history="1">
              <w:r w:rsidR="00BA45AE" w:rsidRPr="00370421">
                <w:rPr>
                  <w:rFonts w:ascii="Helvetica" w:eastAsia="Times New Roman" w:hAnsi="Helvetica"/>
                  <w:sz w:val="16"/>
                </w:rPr>
                <w:t>www.press-n-relations.ch</w:t>
              </w:r>
            </w:hyperlink>
            <w:r w:rsidR="00BA45AE" w:rsidRPr="00370421">
              <w:rPr>
                <w:rFonts w:ascii="Helvetica" w:eastAsia="Times New Roman" w:hAnsi="Helvetica"/>
                <w:sz w:val="16"/>
              </w:rPr>
              <w:t xml:space="preserve"> </w:t>
            </w:r>
          </w:p>
        </w:tc>
      </w:tr>
    </w:tbl>
    <w:p w:rsidR="00D95D9C" w:rsidRDefault="00224D64" w:rsidP="00D95D9C">
      <w:pPr>
        <w:spacing w:line="100" w:lineRule="atLeast"/>
        <w:rPr>
          <w:rFonts w:ascii="Helvetica" w:hAnsi="Helvetica"/>
          <w:b/>
          <w:sz w:val="16"/>
        </w:rPr>
      </w:pPr>
    </w:p>
    <w:p w:rsidR="00D95D9C" w:rsidRPr="00810062" w:rsidRDefault="00BA45AE" w:rsidP="00D95D9C">
      <w:pPr>
        <w:spacing w:line="100" w:lineRule="atLeast"/>
        <w:rPr>
          <w:rFonts w:ascii="Helvetica" w:hAnsi="Helvetica"/>
          <w:b/>
          <w:sz w:val="16"/>
        </w:rPr>
      </w:pPr>
      <w:r w:rsidRPr="00810062">
        <w:rPr>
          <w:rFonts w:ascii="Helvetica" w:hAnsi="Helvetica"/>
          <w:b/>
          <w:sz w:val="16"/>
        </w:rPr>
        <w:t xml:space="preserve">Über Axians IT&amp;T </w:t>
      </w:r>
    </w:p>
    <w:p w:rsidR="00D95D9C" w:rsidRPr="00810062" w:rsidRDefault="00BA45AE" w:rsidP="00D95D9C">
      <w:pPr>
        <w:spacing w:line="100" w:lineRule="atLeast"/>
        <w:rPr>
          <w:rFonts w:ascii="Helvetica" w:hAnsi="Helvetica"/>
          <w:sz w:val="16"/>
        </w:rPr>
      </w:pPr>
      <w:r w:rsidRPr="00810062">
        <w:rPr>
          <w:rFonts w:ascii="Helvetica" w:hAnsi="Helvetica"/>
          <w:sz w:val="16"/>
        </w:rPr>
        <w:t>Axians IT&amp;T AG mit Sitz in Rotkreuz steht für mehr als 20 Jahre Erfahrung in der Software-Entwicklung auf Basis von Microsoft Dynamics NAV – die Kernkompetenz seit der Firmengründung 1994. Mit newsystem</w:t>
      </w:r>
      <w:bookmarkStart w:id="0" w:name="_GoBack"/>
      <w:bookmarkEnd w:id="0"/>
      <w:r w:rsidRPr="00810062">
        <w:rPr>
          <w:rFonts w:ascii="Helvetica" w:hAnsi="Helvetica"/>
          <w:sz w:val="16"/>
        </w:rPr>
        <w:t>, der Gesamtlösung für öffentliche Verwaltungen, konzentriert sich Axians IT&amp;T AG vollständig auf die Bedürfnisse öffentlicher Organisationen und ist bei Stadt- und Gemeindeverwaltungen und besonders in den kantonalen Finanzverwaltungen weit verbreitet. Mehr als 40 Software-Entwickler, Systemarchitekten und Berater unterstützen die Kunden mit ihrer Erfahrung.</w:t>
      </w:r>
      <w:r w:rsidR="00224D64">
        <w:rPr>
          <w:rFonts w:ascii="Helvetica" w:hAnsi="Helvetica"/>
          <w:sz w:val="16"/>
        </w:rPr>
        <w:t xml:space="preserve"> </w:t>
      </w:r>
      <w:r w:rsidR="00BD55B4" w:rsidRPr="00BD55B4">
        <w:rPr>
          <w:rFonts w:ascii="Helvetica" w:hAnsi="Helvetica"/>
          <w:sz w:val="16"/>
        </w:rPr>
        <w:t xml:space="preserve">Axians </w:t>
      </w:r>
      <w:r w:rsidR="00BD55B4">
        <w:rPr>
          <w:rFonts w:ascii="Helvetica" w:hAnsi="Helvetica"/>
          <w:sz w:val="16"/>
        </w:rPr>
        <w:t>IT&amp;T AG</w:t>
      </w:r>
      <w:r w:rsidR="00BD55B4" w:rsidRPr="00BD55B4">
        <w:rPr>
          <w:rFonts w:ascii="Helvetica" w:hAnsi="Helvetica"/>
          <w:sz w:val="16"/>
        </w:rPr>
        <w:t xml:space="preserve"> gehört zu Axians, der weltweiten Dachmarke für ICT-Lösungen von VINCI Energies.</w:t>
      </w:r>
      <w:r w:rsidR="00BD55B4">
        <w:rPr>
          <w:rFonts w:ascii="Helvetica" w:hAnsi="Helvetica"/>
          <w:sz w:val="16"/>
        </w:rPr>
        <w:t xml:space="preserve"> </w:t>
      </w:r>
      <w:hyperlink r:id="rId11" w:history="1">
        <w:r w:rsidRPr="00810062">
          <w:rPr>
            <w:rStyle w:val="Link"/>
            <w:rFonts w:ascii="Helvetica" w:hAnsi="Helvetica"/>
            <w:sz w:val="16"/>
          </w:rPr>
          <w:t>www.axians-itt.ch</w:t>
        </w:r>
      </w:hyperlink>
    </w:p>
    <w:p w:rsidR="00D95D9C" w:rsidRPr="00810062" w:rsidRDefault="00224D64" w:rsidP="00D95D9C">
      <w:pPr>
        <w:spacing w:line="100" w:lineRule="atLeast"/>
        <w:rPr>
          <w:rFonts w:ascii="Helvetica" w:hAnsi="Helvetica"/>
          <w:sz w:val="16"/>
        </w:rPr>
      </w:pPr>
    </w:p>
    <w:p w:rsidR="00BD55B4" w:rsidRPr="00810062" w:rsidRDefault="00BD55B4" w:rsidP="00BD55B4">
      <w:pPr>
        <w:rPr>
          <w:rFonts w:ascii="Helvetica" w:eastAsiaTheme="minorHAnsi" w:hAnsi="Helvetica" w:cs="Arial"/>
          <w:b/>
          <w:bCs/>
          <w:sz w:val="16"/>
          <w:szCs w:val="16"/>
        </w:rPr>
      </w:pPr>
      <w:r w:rsidRPr="00810062">
        <w:rPr>
          <w:rFonts w:ascii="Helvetica" w:hAnsi="Helvetica" w:cs="Arial"/>
          <w:b/>
          <w:bCs/>
          <w:sz w:val="16"/>
          <w:szCs w:val="16"/>
        </w:rPr>
        <w:t>Über Axians</w:t>
      </w:r>
    </w:p>
    <w:p w:rsidR="00BD55B4" w:rsidRPr="00BD55B4" w:rsidRDefault="00BD55B4" w:rsidP="00BD55B4">
      <w:pPr>
        <w:spacing w:line="100" w:lineRule="atLeast"/>
        <w:rPr>
          <w:rFonts w:ascii="Helvetica" w:hAnsi="Helvetica"/>
          <w:sz w:val="16"/>
        </w:rPr>
      </w:pPr>
      <w:r w:rsidRPr="00BD55B4">
        <w:rPr>
          <w:rFonts w:ascii="Helvetica" w:hAnsi="Helvetica"/>
          <w:sz w:val="16"/>
        </w:rPr>
        <w:t>Axians unterstützt ihre Kunden – privatwirtschaftliche Unternehmen, öffentliche Einrichtungen, Netzbetreiber und Service Provider – in der gesamten digitalen Transformation ihrer Organisation. Axians bietet ein umfassendes Lösungsportfolio: Software-Lösungen, Cloud-basierte und Managed IT-Services, Datensysteme und Data Center, Unternehmensnetzwerke sowie Collaboration-Lösungen und Telekommunikationsinfrastrukturen. Axians ist eine Marke von Vinci Energies.</w:t>
      </w:r>
    </w:p>
    <w:p w:rsidR="00BD55B4" w:rsidRPr="00D40003" w:rsidRDefault="00BD55B4" w:rsidP="00BD55B4">
      <w:pPr>
        <w:spacing w:line="100" w:lineRule="atLeast"/>
        <w:rPr>
          <w:rFonts w:ascii="Helvetica" w:hAnsi="Helvetica"/>
          <w:sz w:val="16"/>
        </w:rPr>
      </w:pPr>
      <w:r w:rsidRPr="00BD55B4">
        <w:rPr>
          <w:rFonts w:ascii="Helvetica" w:hAnsi="Helvetica"/>
          <w:sz w:val="16"/>
        </w:rPr>
        <w:t>2015: 1,7 Milliarden Euro Umsatz // 8.000 Mitarbeiter // 200 Business Units // 15 Länder</w:t>
      </w:r>
      <w:r>
        <w:rPr>
          <w:rFonts w:ascii="Helvetica" w:hAnsi="Helvetica"/>
          <w:sz w:val="16"/>
        </w:rPr>
        <w:br/>
      </w:r>
      <w:hyperlink r:id="rId12" w:history="1">
        <w:r w:rsidRPr="00810062">
          <w:rPr>
            <w:rStyle w:val="Link"/>
            <w:rFonts w:ascii="Helvetica" w:hAnsi="Helvetica" w:cs="Arial"/>
            <w:sz w:val="16"/>
            <w:szCs w:val="16"/>
          </w:rPr>
          <w:t>www.axians.com</w:t>
        </w:r>
      </w:hyperlink>
    </w:p>
    <w:p w:rsidR="00BD55B4" w:rsidRDefault="00BD55B4" w:rsidP="00D95D9C">
      <w:pPr>
        <w:rPr>
          <w:rFonts w:ascii="Helvetica" w:hAnsi="Helvetica" w:cs="Arial"/>
          <w:b/>
          <w:bCs/>
          <w:sz w:val="16"/>
          <w:szCs w:val="16"/>
        </w:rPr>
      </w:pPr>
    </w:p>
    <w:p w:rsidR="00D95D9C" w:rsidRPr="00810062" w:rsidRDefault="00BA45AE" w:rsidP="00D95D9C">
      <w:pPr>
        <w:rPr>
          <w:rFonts w:ascii="Helvetica" w:hAnsi="Helvetica" w:cs="Arial"/>
          <w:b/>
          <w:bCs/>
          <w:sz w:val="16"/>
          <w:szCs w:val="16"/>
        </w:rPr>
      </w:pPr>
      <w:r w:rsidRPr="00810062">
        <w:rPr>
          <w:rFonts w:ascii="Helvetica" w:hAnsi="Helvetica" w:cs="Arial"/>
          <w:b/>
          <w:bCs/>
          <w:sz w:val="16"/>
          <w:szCs w:val="16"/>
        </w:rPr>
        <w:t>Über Vinci Energies</w:t>
      </w:r>
    </w:p>
    <w:p w:rsidR="00BD55B4" w:rsidRPr="00BD55B4" w:rsidRDefault="00BD55B4" w:rsidP="00BD55B4">
      <w:pPr>
        <w:spacing w:line="100" w:lineRule="atLeast"/>
        <w:rPr>
          <w:rFonts w:ascii="Helvetica" w:hAnsi="Helvetica"/>
          <w:sz w:val="16"/>
        </w:rPr>
      </w:pPr>
      <w:r w:rsidRPr="00BD55B4">
        <w:rPr>
          <w:rFonts w:ascii="Helvetica" w:hAnsi="Helvetica"/>
          <w:sz w:val="16"/>
        </w:rPr>
        <w:t>Netzwerke, Performance, Energieeffizienz, Daten: In einer sich ständig verändernden Welt legt VINCI Energies den Fokus auf die Implementierung neuer Technologien. Zwei Entwicklungen werden besonders unterstützt: digitale Transformation und Energiewende. Die 1.600 regional verankerten und agilen Business Units von VINCI Energies erhöhen jeden Tag die Zuverlässigkeit, Sicherheit und Effizienz von Energie-, Verkehrs- und Kommunikationsinfrastrukturen, Fabriken und Gebäuden.</w:t>
      </w:r>
    </w:p>
    <w:p w:rsidR="00BD55B4" w:rsidRPr="00D40003" w:rsidRDefault="00BD55B4">
      <w:pPr>
        <w:spacing w:line="100" w:lineRule="atLeast"/>
        <w:rPr>
          <w:rFonts w:ascii="Helvetica" w:hAnsi="Helvetica"/>
          <w:sz w:val="16"/>
        </w:rPr>
      </w:pPr>
      <w:r w:rsidRPr="00BD55B4">
        <w:rPr>
          <w:rFonts w:ascii="Helvetica" w:hAnsi="Helvetica"/>
          <w:sz w:val="16"/>
        </w:rPr>
        <w:t>2015: 10 Milliarden Euro Umsatz // 65.400 Mitarbeiter // 1.600 Business Units // 51 Länder</w:t>
      </w:r>
      <w:r w:rsidR="00BA45AE" w:rsidRPr="00810062">
        <w:rPr>
          <w:rFonts w:ascii="Helvetica" w:hAnsi="Helvetica"/>
          <w:sz w:val="16"/>
        </w:rPr>
        <w:t xml:space="preserve"> </w:t>
      </w:r>
      <w:hyperlink r:id="rId13" w:history="1">
        <w:r w:rsidR="00BA45AE" w:rsidRPr="00810062">
          <w:rPr>
            <w:rStyle w:val="Link"/>
            <w:rFonts w:ascii="Helvetica" w:hAnsi="Helvetica"/>
            <w:sz w:val="16"/>
          </w:rPr>
          <w:t>www.vinci-energies.de</w:t>
        </w:r>
      </w:hyperlink>
      <w:r w:rsidR="00BA45AE" w:rsidRPr="00810062">
        <w:rPr>
          <w:rFonts w:ascii="Helvetica" w:hAnsi="Helvetica"/>
          <w:sz w:val="16"/>
        </w:rPr>
        <w:t xml:space="preserve"> </w:t>
      </w:r>
    </w:p>
    <w:sectPr w:rsidR="00BD55B4" w:rsidRPr="00D40003" w:rsidSect="009540B7">
      <w:headerReference w:type="default" r:id="rId14"/>
      <w:pgSz w:w="11899" w:h="16838"/>
      <w:pgMar w:top="1702" w:right="2685" w:bottom="1843" w:left="1418" w:gutter="0"/>
      <w:noEndnote/>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F1D19" w:rsidRDefault="00BA45AE">
      <w:r>
        <w:separator/>
      </w:r>
    </w:p>
  </w:endnote>
  <w:endnote w:type="continuationSeparator" w:id="0">
    <w:p w:rsidR="00CF1D19" w:rsidRDefault="00BA45AE">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Lucida Grande">
    <w:panose1 w:val="020B0600000000000000"/>
    <w:charset w:val="00"/>
    <w:family w:val="auto"/>
    <w:pitch w:val="variable"/>
    <w:sig w:usb0="00000003" w:usb1="00000000" w:usb2="00000000" w:usb3="00000000" w:csb0="00000001" w:csb1="00000000"/>
  </w:font>
  <w:font w:name="Minion Pro">
    <w:altName w:val="Cambria"/>
    <w:panose1 w:val="00000000000000000000"/>
    <w:charset w:val="00"/>
    <w:family w:val="roman"/>
    <w:notTrueType/>
    <w:pitch w:val="variable"/>
    <w:sig w:usb0="60000287" w:usb1="00000001" w:usb2="00000000" w:usb3="00000000" w:csb0="0000019F"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F1D19" w:rsidRDefault="00BA45AE">
      <w:r>
        <w:separator/>
      </w:r>
    </w:p>
  </w:footnote>
  <w:footnote w:type="continuationSeparator" w:id="0">
    <w:p w:rsidR="00CF1D19" w:rsidRDefault="00BA45AE">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5F3C" w:rsidRDefault="00BA45AE">
    <w:pPr>
      <w:pStyle w:val="Kopfzeile"/>
    </w:pPr>
    <w:r>
      <w:rPr>
        <w:noProof/>
      </w:rPr>
      <w:drawing>
        <wp:anchor distT="0" distB="0" distL="114300" distR="114300" simplePos="0" relativeHeight="251659264" behindDoc="0" locked="0" layoutInCell="1" allowOverlap="1">
          <wp:simplePos x="0" y="0"/>
          <wp:positionH relativeFrom="column">
            <wp:posOffset>3049270</wp:posOffset>
          </wp:positionH>
          <wp:positionV relativeFrom="paragraph">
            <wp:posOffset>50800</wp:posOffset>
          </wp:positionV>
          <wp:extent cx="1905000" cy="302381"/>
          <wp:effectExtent l="25400" t="0" r="0" b="0"/>
          <wp:wrapNone/>
          <wp:docPr id="4" name="Grafik 4" descr="::::ITT BILDER:Log_AXIANS_CP.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TT BILDER:Log_AXIANS_CP.EPS"/>
                  <pic:cNvPicPr>
                    <a:picLocks noChangeAspect="1" noChangeArrowheads="1"/>
                  </pic:cNvPicPr>
                </pic:nvPicPr>
                <pic:blipFill>
                  <a:blip r:embed="rId1"/>
                  <a:srcRect/>
                  <a:stretch>
                    <a:fillRect/>
                  </a:stretch>
                </pic:blipFill>
                <pic:spPr bwMode="auto">
                  <a:xfrm>
                    <a:off x="0" y="0"/>
                    <a:ext cx="1905000" cy="302381"/>
                  </a:xfrm>
                  <a:prstGeom prst="rect">
                    <a:avLst/>
                  </a:prstGeom>
                  <a:noFill/>
                  <a:ln w="9525">
                    <a:noFill/>
                    <a:miter lim="800000"/>
                    <a:headEnd/>
                    <a:tailEnd/>
                  </a:ln>
                </pic:spPr>
              </pic:pic>
            </a:graphicData>
          </a:graphic>
        </wp:anchor>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doNotAutofitConstrainedTables/>
    <w:splitPgBreakAndParaMark/>
    <w:doNotVertAlignCellWithSp/>
    <w:doNotBreakConstrainedForcedTable/>
    <w:useAnsiKerningPairs/>
    <w:cachedColBalance/>
  </w:compat>
  <w:rsids>
    <w:rsidRoot w:val="000D42AE"/>
    <w:rsid w:val="000D42AE"/>
    <w:rsid w:val="00224D64"/>
    <w:rsid w:val="008B6D4B"/>
    <w:rsid w:val="009C568D"/>
    <w:rsid w:val="00BA45AE"/>
    <w:rsid w:val="00BD55B4"/>
    <w:rsid w:val="00CF1D19"/>
  </w:rsids>
  <m:mathPr>
    <m:mathFont m:val="Impact"/>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0D42AE"/>
    <w:rPr>
      <w:rFonts w:ascii="Times" w:eastAsia="Times" w:hAnsi="Times" w:cs="Times New Roman"/>
      <w:lang w:eastAsia="de-DE"/>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rsid w:val="000D42AE"/>
    <w:pPr>
      <w:tabs>
        <w:tab w:val="center" w:pos="4536"/>
        <w:tab w:val="right" w:pos="9072"/>
      </w:tabs>
    </w:pPr>
  </w:style>
  <w:style w:type="character" w:customStyle="1" w:styleId="KopfzeileZeichen">
    <w:name w:val="Kopfzeile Zeichen"/>
    <w:basedOn w:val="Absatzstandardschriftart"/>
    <w:link w:val="Kopfzeile"/>
    <w:rsid w:val="000D42AE"/>
    <w:rPr>
      <w:rFonts w:ascii="Times" w:eastAsia="Times" w:hAnsi="Times" w:cs="Times New Roman"/>
      <w:lang w:eastAsia="de-DE"/>
    </w:rPr>
  </w:style>
  <w:style w:type="character" w:styleId="Link">
    <w:name w:val="Hyperlink"/>
    <w:basedOn w:val="Absatzstandardschriftart"/>
    <w:uiPriority w:val="99"/>
    <w:unhideWhenUsed/>
    <w:rsid w:val="000D42AE"/>
    <w:rPr>
      <w:color w:val="0000FF" w:themeColor="hyperlink"/>
      <w:u w:val="single"/>
    </w:rPr>
  </w:style>
  <w:style w:type="paragraph" w:styleId="StandardWeb">
    <w:name w:val="Normal (Web)"/>
    <w:basedOn w:val="Standard"/>
    <w:uiPriority w:val="99"/>
    <w:rsid w:val="00C63442"/>
    <w:pPr>
      <w:spacing w:beforeLines="1" w:afterLines="1"/>
    </w:pPr>
    <w:rPr>
      <w:rFonts w:eastAsiaTheme="minorHAnsi"/>
      <w:sz w:val="20"/>
      <w:szCs w:val="20"/>
    </w:rPr>
  </w:style>
  <w:style w:type="character" w:styleId="Kommentarzeichen">
    <w:name w:val="annotation reference"/>
    <w:basedOn w:val="Absatzstandardschriftart"/>
    <w:uiPriority w:val="99"/>
    <w:semiHidden/>
    <w:unhideWhenUsed/>
    <w:rsid w:val="00D95D9C"/>
    <w:rPr>
      <w:sz w:val="18"/>
      <w:szCs w:val="18"/>
    </w:rPr>
  </w:style>
  <w:style w:type="paragraph" w:styleId="Kommentartext">
    <w:name w:val="annotation text"/>
    <w:basedOn w:val="Standard"/>
    <w:link w:val="KommentartextZeichen"/>
    <w:uiPriority w:val="99"/>
    <w:semiHidden/>
    <w:unhideWhenUsed/>
    <w:rsid w:val="00D95D9C"/>
  </w:style>
  <w:style w:type="character" w:customStyle="1" w:styleId="KommentartextZeichen">
    <w:name w:val="Kommentartext Zeichen"/>
    <w:basedOn w:val="Absatzstandardschriftart"/>
    <w:link w:val="Kommentartext"/>
    <w:uiPriority w:val="99"/>
    <w:semiHidden/>
    <w:rsid w:val="00D95D9C"/>
    <w:rPr>
      <w:rFonts w:ascii="Times" w:eastAsia="Times" w:hAnsi="Times" w:cs="Times New Roman"/>
      <w:lang w:eastAsia="de-DE"/>
    </w:rPr>
  </w:style>
  <w:style w:type="paragraph" w:styleId="Sprechblasentext">
    <w:name w:val="Balloon Text"/>
    <w:basedOn w:val="Standard"/>
    <w:link w:val="SprechblasentextZeichen"/>
    <w:uiPriority w:val="99"/>
    <w:semiHidden/>
    <w:unhideWhenUsed/>
    <w:rsid w:val="00D95D9C"/>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D95D9C"/>
    <w:rPr>
      <w:rFonts w:ascii="Lucida Grande" w:eastAsia="Times" w:hAnsi="Lucida Grande" w:cs="Times New Roman"/>
      <w:sz w:val="18"/>
      <w:szCs w:val="18"/>
      <w:lang w:eastAsia="de-DE"/>
    </w:rPr>
  </w:style>
  <w:style w:type="paragraph" w:styleId="Kommentarthema">
    <w:name w:val="annotation subject"/>
    <w:basedOn w:val="Kommentartext"/>
    <w:next w:val="Kommentartext"/>
    <w:link w:val="KommentarthemaZeichen"/>
    <w:uiPriority w:val="99"/>
    <w:semiHidden/>
    <w:unhideWhenUsed/>
    <w:rsid w:val="00774E67"/>
    <w:rPr>
      <w:b/>
      <w:bCs/>
      <w:sz w:val="20"/>
      <w:szCs w:val="20"/>
    </w:rPr>
  </w:style>
  <w:style w:type="character" w:customStyle="1" w:styleId="KommentarthemaZeichen">
    <w:name w:val="Kommentarthema Zeichen"/>
    <w:basedOn w:val="KommentartextZeichen"/>
    <w:link w:val="Kommentarthema"/>
    <w:uiPriority w:val="99"/>
    <w:semiHidden/>
    <w:rsid w:val="00774E67"/>
    <w:rPr>
      <w:rFonts w:ascii="Times" w:eastAsia="Times" w:hAnsi="Times" w:cs="Times New Roman"/>
      <w:b/>
      <w:bCs/>
      <w:sz w:val="20"/>
      <w:szCs w:val="20"/>
      <w:lang w:eastAsia="de-DE"/>
    </w:rPr>
  </w:style>
  <w:style w:type="character" w:styleId="GesichteterLink">
    <w:name w:val="FollowedHyperlink"/>
    <w:basedOn w:val="Absatzstandardschriftart"/>
    <w:uiPriority w:val="99"/>
    <w:semiHidden/>
    <w:unhideWhenUsed/>
    <w:rsid w:val="00D067B6"/>
    <w:rPr>
      <w:color w:val="800080" w:themeColor="followedHyperlink"/>
      <w:u w:val="single"/>
    </w:rPr>
  </w:style>
  <w:style w:type="paragraph" w:customStyle="1" w:styleId="KeinAbsatzformat">
    <w:name w:val="[Kein Absatzformat]"/>
    <w:rsid w:val="00A20C93"/>
    <w:pPr>
      <w:autoSpaceDE w:val="0"/>
      <w:autoSpaceDN w:val="0"/>
      <w:adjustRightInd w:val="0"/>
      <w:spacing w:line="288" w:lineRule="auto"/>
      <w:textAlignment w:val="center"/>
    </w:pPr>
    <w:rPr>
      <w:rFonts w:ascii="Minion Pro" w:hAnsi="Minion Pro" w:cs="Minion Pro"/>
      <w:color w:val="000000"/>
      <w:lang w:val="fr-FR"/>
    </w:rPr>
  </w:style>
  <w:style w:type="paragraph" w:customStyle="1" w:styleId="EinfAbs">
    <w:name w:val="[Einf. Abs.]"/>
    <w:basedOn w:val="KeinAbsatzformat"/>
    <w:uiPriority w:val="99"/>
    <w:rsid w:val="00A20C93"/>
  </w:style>
</w:styles>
</file>

<file path=word/webSettings.xml><?xml version="1.0" encoding="utf-8"?>
<w:webSettings xmlns:r="http://schemas.openxmlformats.org/officeDocument/2006/relationships" xmlns:w="http://schemas.openxmlformats.org/wordprocessingml/2006/main">
  <w:divs>
    <w:div w:id="1352757135">
      <w:bodyDiv w:val="1"/>
      <w:marLeft w:val="0"/>
      <w:marRight w:val="0"/>
      <w:marTop w:val="0"/>
      <w:marBottom w:val="0"/>
      <w:divBdr>
        <w:top w:val="none" w:sz="0" w:space="0" w:color="auto"/>
        <w:left w:val="none" w:sz="0" w:space="0" w:color="auto"/>
        <w:bottom w:val="none" w:sz="0" w:space="0" w:color="auto"/>
        <w:right w:val="none" w:sz="0" w:space="0" w:color="auto"/>
      </w:divBdr>
      <w:divsChild>
        <w:div w:id="1704793365">
          <w:marLeft w:val="0"/>
          <w:marRight w:val="0"/>
          <w:marTop w:val="0"/>
          <w:marBottom w:val="0"/>
          <w:divBdr>
            <w:top w:val="none" w:sz="0" w:space="0" w:color="auto"/>
            <w:left w:val="none" w:sz="0" w:space="0" w:color="auto"/>
            <w:bottom w:val="none" w:sz="0" w:space="0" w:color="auto"/>
            <w:right w:val="none" w:sz="0" w:space="0" w:color="auto"/>
          </w:divBdr>
          <w:divsChild>
            <w:div w:id="212930744">
              <w:marLeft w:val="0"/>
              <w:marRight w:val="0"/>
              <w:marTop w:val="0"/>
              <w:marBottom w:val="0"/>
              <w:divBdr>
                <w:top w:val="none" w:sz="0" w:space="0" w:color="auto"/>
                <w:left w:val="none" w:sz="0" w:space="0" w:color="auto"/>
                <w:bottom w:val="none" w:sz="0" w:space="0" w:color="auto"/>
                <w:right w:val="none" w:sz="0" w:space="0" w:color="auto"/>
              </w:divBdr>
              <w:divsChild>
                <w:div w:id="398947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axians-itt.ch" TargetMode="External"/><Relationship Id="rId12" Type="http://schemas.openxmlformats.org/officeDocument/2006/relationships/hyperlink" Target="file:///\\global.fum\DATEN\DE-ULM\1010%20Marketing\Presse\Presseinformation\01%20Hintergrundinformation\www.axians.com" TargetMode="External"/><Relationship Id="rId13" Type="http://schemas.openxmlformats.org/officeDocument/2006/relationships/hyperlink" Target="http://www.vinci-energies.de" TargetMode="External"/><Relationship Id="rId14" Type="http://schemas.openxmlformats.org/officeDocument/2006/relationships/header" Target="header1.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image" Target="media/image1.png"/><Relationship Id="rId7" Type="http://schemas.openxmlformats.org/officeDocument/2006/relationships/hyperlink" Target="mailto:marc.eugster@axians-itt.ch" TargetMode="External"/><Relationship Id="rId8" Type="http://schemas.openxmlformats.org/officeDocument/2006/relationships/hyperlink" Target="http://www.axians-itt.ch" TargetMode="External"/><Relationship Id="rId9" Type="http://schemas.openxmlformats.org/officeDocument/2006/relationships/hyperlink" Target="mailto:mh@press-n-relations.ch" TargetMode="External"/><Relationship Id="rId10" Type="http://schemas.openxmlformats.org/officeDocument/2006/relationships/hyperlink" Target="http://www.press-n-relations.ch"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942</Words>
  <Characters>5373</Characters>
  <Application>Microsoft Macintosh Word</Application>
  <DocSecurity>0</DocSecurity>
  <Lines>44</Lines>
  <Paragraphs>10</Paragraphs>
  <ScaleCrop>false</ScaleCrop>
  <HeadingPairs>
    <vt:vector size="2" baseType="variant">
      <vt:variant>
        <vt:lpstr>Titel</vt:lpstr>
      </vt:variant>
      <vt:variant>
        <vt:i4>1</vt:i4>
      </vt:variant>
    </vt:vector>
  </HeadingPairs>
  <TitlesOfParts>
    <vt:vector size="1" baseType="lpstr">
      <vt:lpstr/>
    </vt:vector>
  </TitlesOfParts>
  <Company>Press'n'Relations</Company>
  <LinksUpToDate>false</LinksUpToDate>
  <CharactersWithSpaces>6598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6</cp:revision>
  <cp:lastPrinted>2017-02-28T09:52:00Z</cp:lastPrinted>
  <dcterms:created xsi:type="dcterms:W3CDTF">2017-02-27T13:09:00Z</dcterms:created>
  <dcterms:modified xsi:type="dcterms:W3CDTF">2017-02-28T09:52:00Z</dcterms:modified>
</cp:coreProperties>
</file>